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R4-2405646</w:t>
      </w:r>
      <w:bookmarkStart w:id="7" w:name="_GoBack"/>
      <w:bookmarkEnd w:id="7"/>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9.15.3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requirements for NTN SAN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 xml:space="preserve">In the RAN#102 meeting, </w:t>
      </w:r>
      <w:r>
        <w:rPr>
          <w:rFonts w:hint="eastAsia"/>
          <w:sz w:val="20"/>
          <w:szCs w:val="20"/>
          <w:lang w:val="en-US" w:eastAsia="zh-CN"/>
        </w:rPr>
        <w:t>New WID: Non-Terrestrial Networks (NTN) for NR Phase 3</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initial views on RF requirements for regenerative NTN SAN.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2"/>
              </w:numPr>
              <w:suppressLineNumbers w:val="0"/>
              <w:overflowPunct w:val="0"/>
              <w:autoSpaceDE w:val="0"/>
              <w:autoSpaceDN w:val="0"/>
              <w:adjustRightInd w:val="0"/>
              <w:spacing w:before="0" w:beforeAutospacing="0" w:after="0" w:afterAutospacing="0" w:line="276" w:lineRule="auto"/>
              <w:ind w:left="0" w:leftChars="0" w:right="0" w:rightChars="0"/>
              <w:jc w:val="left"/>
              <w:rPr>
                <w:rFonts w:hint="default" w:eastAsia="Calibri"/>
                <w:lang w:val="en-US" w:eastAsia="ko"/>
              </w:rPr>
            </w:pPr>
            <w:bookmarkStart w:id="1" w:name="_Hlk153358806"/>
            <w:r>
              <w:rPr>
                <w:rFonts w:hint="default" w:ascii="Times New Roman" w:hAnsi="Times New Roman" w:eastAsia="Malgun Gothic" w:cs="Times New Roman"/>
                <w:kern w:val="0"/>
                <w:sz w:val="20"/>
                <w:szCs w:val="20"/>
                <w:lang w:val="en-US" w:eastAsia="ko" w:bidi="ar"/>
              </w:rPr>
              <w:t>Support of regenerative payload [RAN3, RAN2, RAN4]</w:t>
            </w:r>
          </w:p>
          <w:p>
            <w:pPr>
              <w:pStyle w:val="21"/>
              <w:keepNext w:val="0"/>
              <w:keepLines w:val="0"/>
              <w:widowControl w:val="0"/>
              <w:numPr>
                <w:ilvl w:val="0"/>
                <w:numId w:val="3"/>
              </w:numPr>
              <w:suppressLineNumbers w:val="0"/>
              <w:spacing w:after="0" w:afterAutospacing="0"/>
              <w:ind w:left="0" w:right="0" w:hanging="36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Specify the support of gNB on board in TS 38.300</w:t>
            </w:r>
          </w:p>
          <w:p>
            <w:pPr>
              <w:pStyle w:val="21"/>
              <w:keepNext w:val="0"/>
              <w:keepLines w:val="0"/>
              <w:widowControl w:val="0"/>
              <w:numPr>
                <w:ilvl w:val="0"/>
                <w:numId w:val="3"/>
              </w:numPr>
              <w:suppressLineNumbers w:val="0"/>
              <w:spacing w:after="0" w:afterAutospacing="0"/>
              <w:ind w:left="0" w:right="0" w:hanging="36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Specify, if needed, any necessary enhancements related to the intra and inter-gNB mobility, especially for Xn interface over feeder link or over ISL. [RAN3]</w:t>
            </w:r>
          </w:p>
          <w:p>
            <w:pPr>
              <w:pStyle w:val="21"/>
              <w:keepNext w:val="0"/>
              <w:keepLines w:val="0"/>
              <w:widowControl w:val="0"/>
              <w:numPr>
                <w:ilvl w:val="0"/>
                <w:numId w:val="3"/>
              </w:numPr>
              <w:suppressLineNumbers w:val="0"/>
              <w:spacing w:after="0" w:afterAutospacing="0"/>
              <w:ind w:left="0" w:right="0" w:hanging="360"/>
              <w:contextualSpacing/>
              <w:jc w:val="both"/>
              <w:rPr>
                <w:rFonts w:hint="default"/>
                <w:vertAlign w:val="baseline"/>
                <w:lang w:val="en-US" w:eastAsia="zh-CN"/>
              </w:rPr>
            </w:pPr>
            <w:r>
              <w:rPr>
                <w:rFonts w:hint="default" w:ascii="Times New Roman" w:hAnsi="Times New Roman" w:cs="Times New Roman"/>
                <w:sz w:val="20"/>
                <w:szCs w:val="20"/>
                <w:lang w:val="en-US"/>
              </w:rPr>
              <w:t>Note: if any additional necessary stage-3 specifications impact for e.g. NGAP is identified, RAN3 will handle it.</w:t>
            </w:r>
            <w:bookmarkEnd w:id="1"/>
          </w:p>
        </w:tc>
      </w:tr>
    </w:tbl>
    <w:p>
      <w:pPr>
        <w:pStyle w:val="57"/>
        <w:tabs>
          <w:tab w:val="left" w:pos="567"/>
          <w:tab w:val="clear" w:pos="1985"/>
        </w:tabs>
        <w:adjustRightInd w:val="0"/>
        <w:ind w:left="510" w:hanging="510"/>
        <w:rPr>
          <w:rFonts w:eastAsia="Times New Roman"/>
        </w:rPr>
      </w:pPr>
      <w:bookmarkStart w:id="2" w:name="OLE_LINK13"/>
      <w:bookmarkStart w:id="3" w:name="OLE_LINK14"/>
      <w:bookmarkStart w:id="4" w:name="OLE_LINK10"/>
      <w:bookmarkStart w:id="5" w:name="OLE_LINK20"/>
      <w:r>
        <w:rPr>
          <w:rFonts w:hint="eastAsia"/>
          <w:lang w:val="en-US" w:eastAsia="zh-CN"/>
        </w:rPr>
        <w:t>Discussion</w:t>
      </w:r>
      <w:r>
        <w:rPr>
          <w:rFonts w:hint="eastAsia" w:eastAsia="Times New Roman"/>
        </w:rPr>
        <w:t xml:space="preserve"> </w:t>
      </w:r>
    </w:p>
    <w:p>
      <w:pPr>
        <w:tabs>
          <w:tab w:val="left" w:pos="2127"/>
        </w:tabs>
        <w:spacing w:after="0"/>
        <w:rPr>
          <w:rFonts w:hint="default"/>
          <w:lang w:val="en-US" w:eastAsia="zh-CN"/>
        </w:rPr>
      </w:pPr>
      <w:r>
        <w:rPr>
          <w:rFonts w:hint="eastAsia"/>
          <w:lang w:val="en-US" w:eastAsia="zh-CN"/>
        </w:rPr>
        <w:t>In Rel-17 and Rel-18, only transparent NTN payload was specified with follow definition and diagram captured in the specification TS 38.108. For the regenerative NTN node, the following definition and diagrams should be update as:</w:t>
      </w:r>
    </w:p>
    <w:p>
      <w:pPr>
        <w:tabs>
          <w:tab w:val="left" w:pos="2127"/>
        </w:tabs>
        <w:spacing w:after="0"/>
        <w:rPr>
          <w:rFonts w:hint="default"/>
          <w:b/>
          <w:bCs/>
          <w:lang w:val="en-US" w:eastAsia="zh-CN"/>
        </w:rPr>
      </w:pPr>
      <w:r>
        <w:rPr>
          <w:rFonts w:hint="eastAsia"/>
          <w:b/>
          <w:bCs/>
          <w:lang w:val="en-US" w:eastAsia="zh-CN"/>
        </w:rPr>
        <w:t>For transparent NTN payload:</w:t>
      </w:r>
    </w:p>
    <w:p>
      <w:pPr>
        <w:tabs>
          <w:tab w:val="left" w:pos="2448"/>
          <w:tab w:val="left" w:pos="9468"/>
        </w:tabs>
        <w:rPr>
          <w:rFonts w:hint="eastAsia"/>
          <w:color w:val="0000FF"/>
          <w:lang w:val="en-US" w:eastAsia="zh-CN"/>
        </w:rPr>
      </w:pPr>
      <w:r>
        <w:rPr>
          <w:b/>
          <w:bCs/>
        </w:rPr>
        <w:t>Satellite Access Node</w:t>
      </w:r>
      <w:r>
        <w:t xml:space="preserve">: node providing NR user plane and control plane protocol terminations towards NTN Satellite capable UE, and connected via the NG interface to the 5GC. </w:t>
      </w:r>
      <w:r>
        <w:rPr>
          <w:color w:val="0000FF"/>
        </w:rPr>
        <w:t>It encompass a transparent NTN payload on board a NTN platform, a gateway and gNB functions.</w:t>
      </w:r>
    </w:p>
    <w:p>
      <w:pPr>
        <w:pStyle w:val="47"/>
      </w:pPr>
      <w:r>
        <w:rPr>
          <w:rFonts w:ascii="Times New Roman" w:hAnsi="Times New Roman"/>
          <w:lang w:val="fr-FR" w:eastAsia="fr-FR"/>
        </w:rPr>
        <w:drawing>
          <wp:inline distT="0" distB="0" distL="0" distR="0">
            <wp:extent cx="4754880" cy="1983105"/>
            <wp:effectExtent l="0" t="0" r="7620" b="1714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pPr>
        <w:pStyle w:val="51"/>
      </w:pPr>
      <w:r>
        <w:t xml:space="preserve">Figure </w:t>
      </w:r>
      <w:r>
        <w:rPr>
          <w:rFonts w:hint="eastAsia"/>
          <w:lang w:eastAsia="zh-CN"/>
        </w:rPr>
        <w:t>4.3.1</w:t>
      </w:r>
      <w:r>
        <w:t xml:space="preserve">-1: Radiated and conducted reference points for </w:t>
      </w:r>
      <w:r>
        <w:rPr>
          <w:i/>
        </w:rPr>
        <w:t>SAN type 1-H</w:t>
      </w:r>
    </w:p>
    <w:p>
      <w:pPr>
        <w:pStyle w:val="47"/>
        <w:rPr>
          <w:lang w:eastAsia="zh-CN"/>
        </w:rPr>
      </w:pPr>
      <w:bookmarkStart w:id="6" w:name="_Hlk500328328"/>
      <w:r>
        <w:rPr>
          <w:lang w:val="fr-FR" w:eastAsia="fr-FR"/>
        </w:rPr>
        <w:drawing>
          <wp:inline distT="0" distB="0" distL="0" distR="0">
            <wp:extent cx="4503420" cy="1944370"/>
            <wp:effectExtent l="0" t="0" r="11430" b="1778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pPr>
        <w:pStyle w:val="51"/>
      </w:pPr>
      <w:r>
        <w:t>Figure 4.3.</w:t>
      </w:r>
      <w:r>
        <w:rPr>
          <w:rFonts w:hint="eastAsia"/>
          <w:lang w:eastAsia="zh-CN"/>
        </w:rPr>
        <w:t>2</w:t>
      </w:r>
      <w:r>
        <w:t xml:space="preserve">-1: Radiated reference points for </w:t>
      </w:r>
      <w:r>
        <w:rPr>
          <w:i/>
        </w:rPr>
        <w:t>SAN type 1-O</w:t>
      </w:r>
      <w:r>
        <w:t xml:space="preserve"> </w:t>
      </w:r>
    </w:p>
    <w:p>
      <w:pPr>
        <w:tabs>
          <w:tab w:val="left" w:pos="2127"/>
        </w:tabs>
        <w:spacing w:after="0"/>
        <w:rPr>
          <w:rFonts w:hint="default"/>
          <w:b/>
          <w:bCs/>
          <w:lang w:val="en-US" w:eastAsia="zh-CN"/>
        </w:rPr>
      </w:pPr>
      <w:r>
        <w:rPr>
          <w:rFonts w:hint="eastAsia"/>
          <w:b/>
          <w:bCs/>
          <w:lang w:val="en-US" w:eastAsia="zh-CN"/>
        </w:rPr>
        <w:t>For regenerative NTN payload:</w:t>
      </w:r>
    </w:p>
    <w:p>
      <w:pPr>
        <w:tabs>
          <w:tab w:val="left" w:pos="2448"/>
          <w:tab w:val="left" w:pos="9468"/>
        </w:tabs>
        <w:rPr>
          <w:rFonts w:hint="eastAsia" w:eastAsia="宋体"/>
          <w:color w:val="0000FF"/>
          <w:lang w:val="en-US" w:eastAsia="zh-CN"/>
        </w:rPr>
      </w:pPr>
      <w:r>
        <w:rPr>
          <w:rFonts w:hint="eastAsia"/>
          <w:b/>
          <w:bCs/>
          <w:lang w:val="en-US" w:eastAsia="zh-CN"/>
        </w:rPr>
        <w:t xml:space="preserve">Regenerative </w:t>
      </w:r>
      <w:r>
        <w:rPr>
          <w:b/>
          <w:bCs/>
        </w:rPr>
        <w:t>Satellite Access Node</w:t>
      </w:r>
      <w:r>
        <w:t xml:space="preserve">: node providing NR user plane and control plane protocol terminations towards NTN Satellite capable UE, and connected via the NG interface to the 5GC. </w:t>
      </w:r>
      <w:r>
        <w:rPr>
          <w:color w:val="0000FF"/>
        </w:rPr>
        <w:t xml:space="preserve">It encompass a </w:t>
      </w:r>
      <w:r>
        <w:rPr>
          <w:rFonts w:hint="eastAsia"/>
          <w:color w:val="0000FF"/>
          <w:lang w:val="en-US" w:eastAsia="zh-CN"/>
        </w:rPr>
        <w:t>regenerative</w:t>
      </w:r>
      <w:r>
        <w:rPr>
          <w:color w:val="0000FF"/>
        </w:rPr>
        <w:t xml:space="preserve"> NTN payload on board a NTN platform</w:t>
      </w:r>
      <w:r>
        <w:rPr>
          <w:rFonts w:hint="eastAsia"/>
          <w:color w:val="0000FF"/>
          <w:lang w:val="en-US" w:eastAsia="zh-CN"/>
        </w:rPr>
        <w:t>.</w:t>
      </w:r>
    </w:p>
    <w:p>
      <w:pPr>
        <w:pStyle w:val="47"/>
      </w:pPr>
      <w:r>
        <w:object>
          <v:shape id="_x0000_i1025" o:spt="75" type="#_x0000_t75" style="height:195.25pt;width:483.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pStyle w:val="51"/>
      </w:pPr>
      <w:r>
        <w:t xml:space="preserve">Figure </w:t>
      </w:r>
      <w:r>
        <w:rPr>
          <w:rFonts w:hint="eastAsia"/>
          <w:lang w:eastAsia="zh-CN"/>
        </w:rPr>
        <w:t>4.3.1</w:t>
      </w:r>
      <w:r>
        <w:t>-1</w:t>
      </w:r>
      <w:r>
        <w:rPr>
          <w:rFonts w:hint="eastAsia" w:eastAsia="宋体"/>
          <w:lang w:val="en-US" w:eastAsia="zh-CN"/>
        </w:rPr>
        <w:t>a</w:t>
      </w:r>
      <w:r>
        <w:t xml:space="preserve">: Radiated and conducted reference points for </w:t>
      </w:r>
      <w:r>
        <w:rPr>
          <w:rFonts w:hint="eastAsia"/>
          <w:i/>
          <w:lang w:val="en-US" w:eastAsia="zh-CN"/>
        </w:rPr>
        <w:t>regenerative SAN</w:t>
      </w:r>
      <w:r>
        <w:rPr>
          <w:i/>
        </w:rPr>
        <w:t xml:space="preserve"> type 1-H</w:t>
      </w:r>
    </w:p>
    <w:p>
      <w:pPr>
        <w:pStyle w:val="47"/>
      </w:pPr>
      <w:r>
        <w:object>
          <v:shape id="_x0000_i1026" o:spt="75" type="#_x0000_t75" style="height:174.5pt;width:329.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p>
    <w:p>
      <w:pPr>
        <w:pStyle w:val="51"/>
      </w:pPr>
      <w:r>
        <w:t>Figure 4.3.</w:t>
      </w:r>
      <w:r>
        <w:rPr>
          <w:rFonts w:hint="eastAsia"/>
          <w:lang w:eastAsia="zh-CN"/>
        </w:rPr>
        <w:t>2</w:t>
      </w:r>
      <w:r>
        <w:t>-1</w:t>
      </w:r>
      <w:r>
        <w:rPr>
          <w:rFonts w:hint="eastAsia"/>
          <w:lang w:val="en-US" w:eastAsia="zh-CN"/>
        </w:rPr>
        <w:t>a</w:t>
      </w:r>
      <w:r>
        <w:t xml:space="preserve">: Radiated reference points for </w:t>
      </w:r>
      <w:r>
        <w:rPr>
          <w:rFonts w:hint="eastAsia"/>
          <w:i/>
          <w:lang w:val="en-US" w:eastAsia="zh-CN"/>
        </w:rPr>
        <w:t>regenerative SAN</w:t>
      </w:r>
      <w:r>
        <w:rPr>
          <w:i/>
        </w:rPr>
        <w:t xml:space="preserve"> type 1-O</w:t>
      </w:r>
      <w:r>
        <w:t xml:space="preserve"> and </w:t>
      </w:r>
      <w:r>
        <w:rPr>
          <w:i/>
        </w:rPr>
        <w:t>BS type 2-O</w:t>
      </w:r>
    </w:p>
    <w:bookmarkEnd w:id="2"/>
    <w:bookmarkEnd w:id="3"/>
    <w:bookmarkEnd w:id="4"/>
    <w:bookmarkEnd w:id="5"/>
    <w:bookmarkEnd w:id="6"/>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regenerative NTN SAN in Rel-19 and proposals are made as following: </w:t>
      </w:r>
    </w:p>
    <w:p>
      <w:pPr>
        <w:jc w:val="left"/>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xml:space="preserve">: capture the following definition and diagrams in the TS 38.108 specification. </w:t>
      </w:r>
    </w:p>
    <w:p>
      <w:pPr>
        <w:tabs>
          <w:tab w:val="left" w:pos="2127"/>
        </w:tabs>
        <w:spacing w:after="0"/>
        <w:rPr>
          <w:rFonts w:hint="default"/>
          <w:b/>
          <w:bCs/>
          <w:lang w:val="en-US" w:eastAsia="zh-CN"/>
        </w:rPr>
      </w:pPr>
      <w:r>
        <w:rPr>
          <w:rFonts w:hint="eastAsia"/>
          <w:b/>
          <w:bCs/>
          <w:lang w:val="en-US" w:eastAsia="zh-CN"/>
        </w:rPr>
        <w:t>For regenerative NTN payload:</w:t>
      </w:r>
    </w:p>
    <w:p>
      <w:pPr>
        <w:tabs>
          <w:tab w:val="left" w:pos="2448"/>
          <w:tab w:val="left" w:pos="9468"/>
        </w:tabs>
        <w:rPr>
          <w:rFonts w:hint="eastAsia" w:eastAsia="宋体"/>
          <w:color w:val="0000FF"/>
          <w:lang w:val="en-US" w:eastAsia="zh-CN"/>
        </w:rPr>
      </w:pPr>
      <w:r>
        <w:rPr>
          <w:b/>
          <w:bCs/>
        </w:rPr>
        <w:t>Satellite Access Node</w:t>
      </w:r>
      <w:r>
        <w:t xml:space="preserve">: node providing NR user plane and control plane protocol terminations towards NTN Satellite capable UE, and connected via the NG interface to the 5GC. </w:t>
      </w:r>
      <w:r>
        <w:rPr>
          <w:color w:val="0000FF"/>
        </w:rPr>
        <w:t xml:space="preserve">It encompass a </w:t>
      </w:r>
      <w:r>
        <w:rPr>
          <w:rFonts w:hint="eastAsia"/>
          <w:color w:val="0000FF"/>
          <w:lang w:val="en-US" w:eastAsia="zh-CN"/>
        </w:rPr>
        <w:t>regenerative</w:t>
      </w:r>
      <w:r>
        <w:rPr>
          <w:color w:val="0000FF"/>
        </w:rPr>
        <w:t xml:space="preserve"> NTN payload on board a NTN platform</w:t>
      </w:r>
      <w:r>
        <w:rPr>
          <w:rFonts w:hint="eastAsia"/>
          <w:color w:val="0000FF"/>
          <w:lang w:val="en-US" w:eastAsia="zh-CN"/>
        </w:rPr>
        <w:t>.</w:t>
      </w:r>
    </w:p>
    <w:p>
      <w:pPr>
        <w:pStyle w:val="47"/>
      </w:pPr>
      <w:r>
        <w:object>
          <v:shape id="_x0000_i1027" o:spt="75" type="#_x0000_t75" style="height:195.25pt;width:483.2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o:LockedField>false</o:LockedField>
          </o:OLEObject>
        </w:object>
      </w:r>
    </w:p>
    <w:p>
      <w:pPr>
        <w:pStyle w:val="51"/>
      </w:pPr>
      <w:r>
        <w:t>Figure 4.3.2-1</w:t>
      </w:r>
      <w:r>
        <w:rPr>
          <w:rFonts w:hint="eastAsia"/>
          <w:lang w:val="en-US" w:eastAsia="zh-CN"/>
        </w:rPr>
        <w:t>a</w:t>
      </w:r>
      <w:r>
        <w:t xml:space="preserve">: Radiated and conducted reference points for </w:t>
      </w:r>
      <w:r>
        <w:rPr>
          <w:rFonts w:hint="eastAsia"/>
          <w:i/>
          <w:lang w:val="en-US" w:eastAsia="zh-CN"/>
        </w:rPr>
        <w:t>regenerative SAN</w:t>
      </w:r>
      <w:r>
        <w:rPr>
          <w:i/>
        </w:rPr>
        <w:t xml:space="preserve"> type 1-H</w:t>
      </w:r>
    </w:p>
    <w:p>
      <w:pPr>
        <w:pStyle w:val="47"/>
      </w:pPr>
      <w:r>
        <w:object>
          <v:shape id="_x0000_i1028" o:spt="75" type="#_x0000_t75" style="height:174.5pt;width:329.5pt;" o:ole="t" filled="f" o:preferrelative="t" stroked="f" coordsize="21600,21600">
            <v:path/>
            <v:fill on="f" focussize="0,0"/>
            <v:stroke on="f" joinstyle="miter"/>
            <v:imagedata r:id="rId10" o:title=""/>
            <o:lock v:ext="edit" aspectratio="t"/>
            <w10:wrap type="none"/>
            <w10:anchorlock/>
          </v:shape>
          <o:OLEObject Type="Embed" ProgID="Visio.Drawing.15" ShapeID="_x0000_i1028" DrawAspect="Content" ObjectID="_1468075728">
            <o:LockedField>false</o:LockedField>
          </o:OLEObject>
        </w:object>
      </w:r>
    </w:p>
    <w:p>
      <w:pPr>
        <w:pStyle w:val="51"/>
      </w:pPr>
      <w:r>
        <w:t>Figure 4.3.3-1</w:t>
      </w:r>
      <w:r>
        <w:rPr>
          <w:rFonts w:hint="eastAsia"/>
          <w:lang w:val="en-US" w:eastAsia="zh-CN"/>
        </w:rPr>
        <w:t>a</w:t>
      </w:r>
      <w:r>
        <w:t xml:space="preserve">: Radiated reference points for </w:t>
      </w:r>
      <w:r>
        <w:rPr>
          <w:rFonts w:hint="eastAsia"/>
          <w:i/>
          <w:lang w:val="en-US" w:eastAsia="zh-CN"/>
        </w:rPr>
        <w:t>regenerative SAN</w:t>
      </w:r>
      <w:r>
        <w:rPr>
          <w:i/>
        </w:rPr>
        <w:t xml:space="preserve"> type 1-O</w:t>
      </w:r>
      <w:r>
        <w:t xml:space="preserve"> and </w:t>
      </w:r>
      <w:r>
        <w:rPr>
          <w:i/>
        </w:rPr>
        <w:t>BS type 2-O</w:t>
      </w:r>
    </w:p>
    <w:p>
      <w:pPr>
        <w:pStyle w:val="57"/>
        <w:tabs>
          <w:tab w:val="left" w:pos="567"/>
          <w:tab w:val="clear" w:pos="1985"/>
        </w:tabs>
        <w:adjustRightInd w:val="0"/>
        <w:ind w:left="510" w:hanging="510"/>
      </w:pPr>
      <w:r>
        <w:t>References</w:t>
      </w:r>
    </w:p>
    <w:p>
      <w:pPr>
        <w:pStyle w:val="55"/>
        <w:numPr>
          <w:ilvl w:val="0"/>
          <w:numId w:val="4"/>
        </w:numPr>
        <w:rPr>
          <w:rFonts w:hint="eastAsia"/>
          <w:sz w:val="20"/>
          <w:szCs w:val="20"/>
          <w:lang w:val="en-US" w:eastAsia="zh-CN"/>
        </w:rPr>
      </w:pPr>
      <w:r>
        <w:rPr>
          <w:rFonts w:hint="eastAsia" w:eastAsia="宋体"/>
          <w:sz w:val="20"/>
          <w:szCs w:val="20"/>
        </w:rPr>
        <w:t>RP-234078</w:t>
      </w:r>
      <w:r>
        <w:rPr>
          <w:rFonts w:hint="eastAsia"/>
          <w:sz w:val="20"/>
          <w:szCs w:val="20"/>
          <w:lang w:val="en-US" w:eastAsia="zh-CN"/>
        </w:rPr>
        <w:t>,New WID: Non-Terrestrial Networks (NTN) for NR Phase 3, Thales,CATT, Approved.</w:t>
      </w:r>
    </w:p>
    <w:p>
      <w:pPr>
        <w:pStyle w:val="55"/>
        <w:numPr>
          <w:ilvl w:val="0"/>
          <w:numId w:val="0"/>
        </w:numPr>
        <w:rPr>
          <w:rFonts w:hint="eastAsia" w:eastAsia="宋体"/>
          <w:sz w:val="20"/>
          <w:szCs w:val="20"/>
        </w:rPr>
      </w:pP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C7C766D"/>
    <w:multiLevelType w:val="singleLevel"/>
    <w:tmpl w:val="EC7C766D"/>
    <w:lvl w:ilvl="0" w:tentative="0">
      <w:start w:val="4"/>
      <w:numFmt w:val="decimal"/>
      <w:suff w:val="space"/>
      <w:lvlText w:val="%1."/>
      <w:lvlJc w:val="left"/>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E3417B1"/>
    <w:multiLevelType w:val="multilevel"/>
    <w:tmpl w:val="6E3417B1"/>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016A"/>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9532D"/>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B2A2B"/>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D5A99"/>
    <w:rsid w:val="04FB4499"/>
    <w:rsid w:val="04FD09E6"/>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B5AB9"/>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05D73"/>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35283"/>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06DC0"/>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635B2"/>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07A1"/>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14658"/>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C4414"/>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5040"/>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F7763"/>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BC650F"/>
    <w:rsid w:val="1DC254A8"/>
    <w:rsid w:val="1DC603E1"/>
    <w:rsid w:val="1DCA7C29"/>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E249F"/>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7025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283D"/>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57E1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75B9B"/>
    <w:rsid w:val="27DF1D24"/>
    <w:rsid w:val="27E30D7E"/>
    <w:rsid w:val="27E43C95"/>
    <w:rsid w:val="27F20EFC"/>
    <w:rsid w:val="27FB11A8"/>
    <w:rsid w:val="27FE4240"/>
    <w:rsid w:val="27FF2D7D"/>
    <w:rsid w:val="280008FF"/>
    <w:rsid w:val="2803518E"/>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2222"/>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4F3166"/>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D3493"/>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753B2"/>
    <w:rsid w:val="36D85209"/>
    <w:rsid w:val="36D934D3"/>
    <w:rsid w:val="36D94280"/>
    <w:rsid w:val="36DA1950"/>
    <w:rsid w:val="36DE2053"/>
    <w:rsid w:val="36E07ED3"/>
    <w:rsid w:val="36E222AF"/>
    <w:rsid w:val="36F03F0E"/>
    <w:rsid w:val="36F414F3"/>
    <w:rsid w:val="36F902E0"/>
    <w:rsid w:val="36F97769"/>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91F98"/>
    <w:rsid w:val="374D0B20"/>
    <w:rsid w:val="37557969"/>
    <w:rsid w:val="375D4473"/>
    <w:rsid w:val="37615F3C"/>
    <w:rsid w:val="37663E25"/>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62237"/>
    <w:rsid w:val="3A082ABE"/>
    <w:rsid w:val="3A0A6393"/>
    <w:rsid w:val="3A0E18F6"/>
    <w:rsid w:val="3A0E766B"/>
    <w:rsid w:val="3A181AC2"/>
    <w:rsid w:val="3A1A155D"/>
    <w:rsid w:val="3A1A5D0A"/>
    <w:rsid w:val="3A237175"/>
    <w:rsid w:val="3A264A9F"/>
    <w:rsid w:val="3A2B2AA6"/>
    <w:rsid w:val="3A2E67B0"/>
    <w:rsid w:val="3A37551F"/>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F6608"/>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7C4E5B"/>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01597"/>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3AD8"/>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971AF"/>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A2A25"/>
    <w:rsid w:val="487C0397"/>
    <w:rsid w:val="48850976"/>
    <w:rsid w:val="488C5FA3"/>
    <w:rsid w:val="488D22FD"/>
    <w:rsid w:val="488D7D14"/>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1B29EF"/>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5C708A"/>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76E09"/>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51CBC"/>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E95517"/>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535FC"/>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D23F25"/>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CB7850"/>
    <w:rsid w:val="51D42177"/>
    <w:rsid w:val="51D43598"/>
    <w:rsid w:val="51DA51E8"/>
    <w:rsid w:val="51DA5890"/>
    <w:rsid w:val="51E31C77"/>
    <w:rsid w:val="51E90CD5"/>
    <w:rsid w:val="51EE7B3E"/>
    <w:rsid w:val="51F51BD1"/>
    <w:rsid w:val="51F96848"/>
    <w:rsid w:val="51FB40B5"/>
    <w:rsid w:val="52063C95"/>
    <w:rsid w:val="52073487"/>
    <w:rsid w:val="52096D2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4C8"/>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85406"/>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4C616E"/>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01E3E"/>
    <w:rsid w:val="588509DD"/>
    <w:rsid w:val="588D555E"/>
    <w:rsid w:val="58937684"/>
    <w:rsid w:val="58953B9F"/>
    <w:rsid w:val="58957A8C"/>
    <w:rsid w:val="589968A1"/>
    <w:rsid w:val="589C0BA1"/>
    <w:rsid w:val="589E1D6D"/>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A0607"/>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35B21"/>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129DD"/>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81D61"/>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24E62"/>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C6852"/>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76B40"/>
    <w:rsid w:val="6ABE4FFD"/>
    <w:rsid w:val="6AC91EBE"/>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668C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710E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F2189"/>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9C06B8"/>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11DB6"/>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54E55"/>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32740"/>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C5C96"/>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8048D"/>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character" w:customStyle="1" w:styleId="109">
    <w:name w:val="列表段落 字符"/>
    <w:basedOn w:val="27"/>
    <w:qFormat/>
    <w:uiPriority w:val="0"/>
    <w:rPr>
      <w:rFonts w:hint="default" w:ascii="Calibri" w:hAnsi="Calibri" w:eastAsia="Calibri" w:cs="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2024-04-08T16:06:00Z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